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Объём предоставленных услуг  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на 01.10.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202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год</w:t>
      </w:r>
      <w:bookmarkEnd w:id="0"/>
    </w:p>
    <w:tbl>
      <w:tblPr>
        <w:tblW w:w="9765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5384"/>
        <w:gridCol w:w="2110"/>
        <w:gridCol w:w="2271"/>
      </w:tblGrid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Гарантированные</w:t>
            </w:r>
          </w:p>
        </w:tc>
      </w:tr>
      <w:tr>
        <w:trPr>
          <w:trHeight w:val="1208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Социально-бытовые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17192</w:t>
            </w:r>
          </w:p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93040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2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Социально-медицинские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3600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86094</w:t>
            </w:r>
          </w:p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Социально-психологические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1356</w:t>
            </w:r>
          </w:p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 педагогические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85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2102</w:t>
            </w:r>
          </w:p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10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942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Социально-правовые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195</w:t>
            </w:r>
          </w:p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Социально-трудовые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2</w:t>
            </w:r>
          </w:p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Срочные социальные услуги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5301</w:t>
            </w:r>
          </w:p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  <w:lang w:eastAsia="ru-RU"/>
        </w:rPr>
      </w:r>
    </w:p>
    <w:tbl>
      <w:tblPr>
        <w:tblW w:w="9750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5384"/>
        <w:gridCol w:w="2104"/>
        <w:gridCol w:w="2262"/>
      </w:tblGrid>
      <w:tr>
        <w:trPr>
          <w:trHeight w:val="285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20915</w:t>
            </w:r>
          </w:p>
        </w:tc>
        <w:tc>
          <w:tcPr>
            <w:tcW w:w="2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189032</w:t>
            </w:r>
          </w:p>
        </w:tc>
      </w:tr>
    </w:tbl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Расходы на предоставление социальных услуг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на 01.10.2025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год:</w:t>
      </w:r>
    </w:p>
    <w:tbl>
      <w:tblPr>
        <w:tblW w:w="10035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7693"/>
        <w:gridCol w:w="2341"/>
      </w:tblGrid>
      <w:tr>
        <w:trPr/>
        <w:tc>
          <w:tcPr>
            <w:tcW w:w="7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услуг, тыс. рублей</w:t>
            </w:r>
          </w:p>
        </w:tc>
      </w:tr>
      <w:tr>
        <w:trPr/>
        <w:tc>
          <w:tcPr>
            <w:tcW w:w="7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20450,2</w:t>
            </w:r>
          </w:p>
        </w:tc>
      </w:tr>
      <w:tr>
        <w:trPr/>
        <w:tc>
          <w:tcPr>
            <w:tcW w:w="7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за счет внебюджетных средств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1629,2</w:t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510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06495"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51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7f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064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16c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8551-B837-41F4-B0BF-CD3665B1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LibreOffice/7.6.7.2$Linux_X86_64 LibreOffice_project/60$Build-2</Application>
  <AppVersion>15.0000</AppVersion>
  <Pages>2</Pages>
  <Words>67</Words>
  <Characters>487</Characters>
  <CharactersWithSpaces>518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2023-09-19T06:10:00Z</dcterms:created>
  <dc:creator>User</dc:creator>
  <dc:description/>
  <dc:language>ru-RU</dc:language>
  <cp:lastModifiedBy/>
  <cp:lastPrinted>2021-04-28T13:02:00Z</cp:lastPrinted>
  <dcterms:modified xsi:type="dcterms:W3CDTF">2025-11-05T11:01:42Z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